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6745E" w14:textId="5CDD918D" w:rsidR="00F32162" w:rsidRPr="00A41410" w:rsidRDefault="00A41410" w:rsidP="00F32162">
      <w:pPr>
        <w:spacing w:after="0" w:line="240" w:lineRule="auto"/>
        <w:jc w:val="center"/>
        <w:rPr>
          <w:rFonts w:asciiTheme="majorHAnsi" w:hAnsiTheme="majorHAnsi"/>
          <w:b/>
          <w:color w:val="FF0000"/>
          <w:sz w:val="32"/>
        </w:rPr>
      </w:pPr>
      <w:r w:rsidRPr="00A41410">
        <w:rPr>
          <w:rFonts w:asciiTheme="majorHAnsi" w:hAnsiTheme="majorHAnsi"/>
          <w:b/>
          <w:color w:val="FF0000"/>
          <w:sz w:val="32"/>
        </w:rPr>
        <w:t xml:space="preserve">Sample </w:t>
      </w:r>
      <w:r w:rsidR="00F32162" w:rsidRPr="00A41410">
        <w:rPr>
          <w:rFonts w:asciiTheme="majorHAnsi" w:hAnsiTheme="majorHAnsi"/>
          <w:b/>
          <w:color w:val="FF0000"/>
          <w:sz w:val="32"/>
        </w:rPr>
        <w:t>Abstract</w:t>
      </w:r>
    </w:p>
    <w:p w14:paraId="35AB43F1" w14:textId="77777777" w:rsidR="00F94A07" w:rsidRPr="00F32162" w:rsidRDefault="00391937" w:rsidP="00F32162">
      <w:pPr>
        <w:spacing w:after="0" w:line="240" w:lineRule="auto"/>
        <w:jc w:val="center"/>
        <w:rPr>
          <w:rFonts w:asciiTheme="majorHAnsi" w:hAnsiTheme="majorHAnsi"/>
          <w:b/>
          <w:sz w:val="32"/>
        </w:rPr>
      </w:pPr>
      <w:r>
        <w:rPr>
          <w:rFonts w:asciiTheme="majorHAnsi" w:hAnsiTheme="majorHAnsi"/>
          <w:b/>
          <w:sz w:val="32"/>
        </w:rPr>
        <w:t>NCAF</w:t>
      </w:r>
      <w:r w:rsidR="00744A86">
        <w:rPr>
          <w:rFonts w:asciiTheme="majorHAnsi" w:hAnsiTheme="majorHAnsi"/>
          <w:b/>
          <w:sz w:val="32"/>
        </w:rPr>
        <w:t>PM</w:t>
      </w:r>
      <w:r>
        <w:rPr>
          <w:rFonts w:asciiTheme="majorHAnsi" w:hAnsiTheme="majorHAnsi"/>
          <w:b/>
          <w:sz w:val="32"/>
        </w:rPr>
        <w:t xml:space="preserve"> </w:t>
      </w:r>
      <w:r w:rsidR="00744A86">
        <w:rPr>
          <w:rFonts w:asciiTheme="majorHAnsi" w:hAnsiTheme="majorHAnsi"/>
          <w:b/>
          <w:sz w:val="32"/>
        </w:rPr>
        <w:t>Spring Conference</w:t>
      </w:r>
      <w:r w:rsidR="00F94A07">
        <w:rPr>
          <w:rFonts w:asciiTheme="majorHAnsi" w:hAnsiTheme="majorHAnsi"/>
          <w:b/>
          <w:sz w:val="32"/>
        </w:rPr>
        <w:t xml:space="preserve"> – </w:t>
      </w:r>
      <w:r>
        <w:rPr>
          <w:rFonts w:asciiTheme="majorHAnsi" w:hAnsiTheme="majorHAnsi"/>
          <w:b/>
          <w:sz w:val="32"/>
        </w:rPr>
        <w:t>New Bern, NC</w:t>
      </w:r>
    </w:p>
    <w:p w14:paraId="065A4FE4" w14:textId="77777777" w:rsidR="00F32162" w:rsidRDefault="00F32162" w:rsidP="00F32162">
      <w:pPr>
        <w:spacing w:after="0" w:line="240" w:lineRule="auto"/>
        <w:rPr>
          <w:rFonts w:asciiTheme="majorHAnsi" w:hAnsiTheme="majorHAnsi"/>
          <w:sz w:val="24"/>
        </w:rPr>
      </w:pPr>
    </w:p>
    <w:p w14:paraId="51B7A16A" w14:textId="77777777" w:rsidR="00F32162" w:rsidRPr="00F32162" w:rsidRDefault="00F94A07" w:rsidP="00F32162">
      <w:pPr>
        <w:spacing w:after="0" w:line="240" w:lineRule="auto"/>
        <w:rPr>
          <w:rFonts w:asciiTheme="majorHAnsi" w:hAnsiTheme="majorHAnsi"/>
          <w:b/>
          <w:i/>
          <w:sz w:val="32"/>
        </w:rPr>
      </w:pPr>
      <w:r>
        <w:rPr>
          <w:rFonts w:asciiTheme="majorHAnsi" w:hAnsiTheme="majorHAnsi"/>
          <w:b/>
          <w:i/>
          <w:sz w:val="32"/>
        </w:rPr>
        <w:t xml:space="preserve">Leveraging </w:t>
      </w:r>
      <w:r w:rsidR="00F32162" w:rsidRPr="00F32162">
        <w:rPr>
          <w:rFonts w:asciiTheme="majorHAnsi" w:hAnsiTheme="majorHAnsi"/>
          <w:b/>
          <w:i/>
          <w:sz w:val="32"/>
        </w:rPr>
        <w:t xml:space="preserve">Mobile LiDAR </w:t>
      </w:r>
      <w:r>
        <w:rPr>
          <w:rFonts w:asciiTheme="majorHAnsi" w:hAnsiTheme="majorHAnsi"/>
          <w:b/>
          <w:i/>
          <w:sz w:val="32"/>
        </w:rPr>
        <w:t xml:space="preserve">for Flood </w:t>
      </w:r>
      <w:r w:rsidR="00F32162" w:rsidRPr="00F32162">
        <w:rPr>
          <w:rFonts w:asciiTheme="majorHAnsi" w:hAnsiTheme="majorHAnsi"/>
          <w:b/>
          <w:i/>
          <w:sz w:val="32"/>
        </w:rPr>
        <w:t xml:space="preserve">Risk Assessment, </w:t>
      </w:r>
      <w:r w:rsidR="00391937">
        <w:rPr>
          <w:rFonts w:asciiTheme="majorHAnsi" w:hAnsiTheme="majorHAnsi"/>
          <w:b/>
          <w:i/>
          <w:sz w:val="32"/>
        </w:rPr>
        <w:t>Mitigation Planning and Disaster Response.</w:t>
      </w:r>
    </w:p>
    <w:p w14:paraId="0CB83335" w14:textId="77777777" w:rsidR="00F32162" w:rsidRDefault="00F32162" w:rsidP="00F32162">
      <w:pPr>
        <w:spacing w:after="0" w:line="240" w:lineRule="auto"/>
        <w:rPr>
          <w:rFonts w:asciiTheme="majorHAnsi" w:hAnsiTheme="majorHAnsi"/>
          <w:sz w:val="24"/>
        </w:rPr>
      </w:pPr>
    </w:p>
    <w:tbl>
      <w:tblPr>
        <w:tblStyle w:val="TableGrid"/>
        <w:tblW w:w="9270" w:type="dxa"/>
        <w:tblInd w:w="108" w:type="dxa"/>
        <w:tblLook w:val="04A0" w:firstRow="1" w:lastRow="0" w:firstColumn="1" w:lastColumn="0" w:noHBand="0" w:noVBand="1"/>
      </w:tblPr>
      <w:tblGrid>
        <w:gridCol w:w="1440"/>
        <w:gridCol w:w="4140"/>
        <w:gridCol w:w="3690"/>
      </w:tblGrid>
      <w:tr w:rsidR="0050207D" w:rsidRPr="003E1900" w14:paraId="31E8F31A" w14:textId="77777777" w:rsidTr="0050207D">
        <w:tc>
          <w:tcPr>
            <w:tcW w:w="1440" w:type="dxa"/>
            <w:vMerge w:val="restart"/>
            <w:shd w:val="clear" w:color="auto" w:fill="B8CCE4" w:themeFill="accent1" w:themeFillTint="66"/>
          </w:tcPr>
          <w:p w14:paraId="1191279D" w14:textId="77777777" w:rsidR="0050207D" w:rsidRPr="003E1900" w:rsidRDefault="0050207D" w:rsidP="00F32162">
            <w:pPr>
              <w:rPr>
                <w:rFonts w:asciiTheme="majorHAnsi" w:hAnsiTheme="majorHAnsi"/>
                <w:sz w:val="20"/>
                <w:szCs w:val="20"/>
              </w:rPr>
            </w:pPr>
            <w:r w:rsidRPr="003E1900">
              <w:rPr>
                <w:rFonts w:asciiTheme="majorHAnsi" w:hAnsiTheme="majorHAnsi"/>
                <w:sz w:val="20"/>
                <w:szCs w:val="20"/>
              </w:rPr>
              <w:t>Speaker Name</w:t>
            </w:r>
            <w:r>
              <w:rPr>
                <w:rFonts w:asciiTheme="majorHAnsi" w:hAnsiTheme="majorHAnsi"/>
                <w:sz w:val="20"/>
                <w:szCs w:val="20"/>
              </w:rPr>
              <w:t>(s)</w:t>
            </w:r>
          </w:p>
        </w:tc>
        <w:tc>
          <w:tcPr>
            <w:tcW w:w="4140" w:type="dxa"/>
            <w:shd w:val="clear" w:color="auto" w:fill="B8CCE4" w:themeFill="accent1" w:themeFillTint="66"/>
          </w:tcPr>
          <w:p w14:paraId="08A95DB9" w14:textId="77777777" w:rsidR="0050207D" w:rsidRPr="0050207D" w:rsidRDefault="0050207D" w:rsidP="00F32162">
            <w:pPr>
              <w:rPr>
                <w:rFonts w:asciiTheme="majorHAnsi" w:hAnsiTheme="majorHAnsi"/>
                <w:b/>
                <w:sz w:val="20"/>
                <w:szCs w:val="20"/>
              </w:rPr>
            </w:pPr>
            <w:r w:rsidRPr="0050207D">
              <w:rPr>
                <w:rFonts w:asciiTheme="majorHAnsi" w:hAnsiTheme="majorHAnsi"/>
                <w:b/>
                <w:sz w:val="20"/>
                <w:szCs w:val="20"/>
              </w:rPr>
              <w:t>Speaker 1</w:t>
            </w:r>
          </w:p>
        </w:tc>
        <w:tc>
          <w:tcPr>
            <w:tcW w:w="3690" w:type="dxa"/>
            <w:shd w:val="clear" w:color="auto" w:fill="B8CCE4" w:themeFill="accent1" w:themeFillTint="66"/>
          </w:tcPr>
          <w:p w14:paraId="647D31B6" w14:textId="77777777" w:rsidR="0050207D" w:rsidRPr="0050207D" w:rsidRDefault="0050207D" w:rsidP="00CA6324">
            <w:pPr>
              <w:rPr>
                <w:rFonts w:asciiTheme="majorHAnsi" w:hAnsiTheme="majorHAnsi"/>
                <w:b/>
                <w:sz w:val="20"/>
                <w:szCs w:val="20"/>
              </w:rPr>
            </w:pPr>
            <w:r w:rsidRPr="0050207D">
              <w:rPr>
                <w:rFonts w:asciiTheme="majorHAnsi" w:hAnsiTheme="majorHAnsi"/>
                <w:b/>
                <w:sz w:val="20"/>
                <w:szCs w:val="20"/>
              </w:rPr>
              <w:t>Speaker 2</w:t>
            </w:r>
          </w:p>
        </w:tc>
      </w:tr>
      <w:tr w:rsidR="0050207D" w:rsidRPr="003E1900" w14:paraId="477951FA" w14:textId="77777777" w:rsidTr="0050207D">
        <w:tc>
          <w:tcPr>
            <w:tcW w:w="1440" w:type="dxa"/>
            <w:vMerge/>
            <w:shd w:val="clear" w:color="auto" w:fill="B8CCE4" w:themeFill="accent1" w:themeFillTint="66"/>
          </w:tcPr>
          <w:p w14:paraId="50C2FA12" w14:textId="77777777" w:rsidR="0050207D" w:rsidRPr="003E1900" w:rsidRDefault="0050207D" w:rsidP="00F32162">
            <w:pPr>
              <w:rPr>
                <w:rFonts w:asciiTheme="majorHAnsi" w:hAnsiTheme="majorHAnsi"/>
                <w:sz w:val="20"/>
                <w:szCs w:val="20"/>
              </w:rPr>
            </w:pPr>
          </w:p>
        </w:tc>
        <w:tc>
          <w:tcPr>
            <w:tcW w:w="4140" w:type="dxa"/>
          </w:tcPr>
          <w:p w14:paraId="63006545" w14:textId="77777777" w:rsidR="0050207D" w:rsidRPr="003E1900" w:rsidRDefault="0050207D" w:rsidP="00F32162">
            <w:pPr>
              <w:rPr>
                <w:rFonts w:asciiTheme="majorHAnsi" w:hAnsiTheme="majorHAnsi"/>
                <w:sz w:val="20"/>
                <w:szCs w:val="20"/>
              </w:rPr>
            </w:pPr>
            <w:r w:rsidRPr="003E1900">
              <w:rPr>
                <w:rFonts w:asciiTheme="majorHAnsi" w:hAnsiTheme="majorHAnsi"/>
                <w:sz w:val="20"/>
                <w:szCs w:val="20"/>
              </w:rPr>
              <w:t>Hope Morgan, GISP</w:t>
            </w:r>
            <w:r>
              <w:rPr>
                <w:rFonts w:asciiTheme="majorHAnsi" w:hAnsiTheme="majorHAnsi"/>
                <w:sz w:val="20"/>
                <w:szCs w:val="20"/>
              </w:rPr>
              <w:t>*</w:t>
            </w:r>
          </w:p>
        </w:tc>
        <w:tc>
          <w:tcPr>
            <w:tcW w:w="3690" w:type="dxa"/>
          </w:tcPr>
          <w:p w14:paraId="2139F504" w14:textId="77777777" w:rsidR="0050207D" w:rsidRPr="003E1900" w:rsidRDefault="0050207D" w:rsidP="00CA6324">
            <w:pPr>
              <w:rPr>
                <w:rFonts w:asciiTheme="majorHAnsi" w:hAnsiTheme="majorHAnsi"/>
                <w:sz w:val="20"/>
                <w:szCs w:val="20"/>
              </w:rPr>
            </w:pPr>
            <w:r>
              <w:rPr>
                <w:rFonts w:asciiTheme="majorHAnsi" w:hAnsiTheme="majorHAnsi"/>
                <w:sz w:val="20"/>
                <w:szCs w:val="20"/>
              </w:rPr>
              <w:t>Name</w:t>
            </w:r>
          </w:p>
        </w:tc>
      </w:tr>
      <w:tr w:rsidR="0050207D" w:rsidRPr="003E1900" w14:paraId="33651DEE" w14:textId="77777777" w:rsidTr="0050207D">
        <w:tc>
          <w:tcPr>
            <w:tcW w:w="1440" w:type="dxa"/>
            <w:shd w:val="clear" w:color="auto" w:fill="B8CCE4" w:themeFill="accent1" w:themeFillTint="66"/>
          </w:tcPr>
          <w:p w14:paraId="144AAE27" w14:textId="77777777" w:rsidR="0050207D" w:rsidRPr="003E1900" w:rsidRDefault="0050207D" w:rsidP="00F32162">
            <w:pPr>
              <w:rPr>
                <w:rFonts w:asciiTheme="majorHAnsi" w:hAnsiTheme="majorHAnsi"/>
                <w:sz w:val="20"/>
                <w:szCs w:val="20"/>
              </w:rPr>
            </w:pPr>
            <w:r w:rsidRPr="003E1900">
              <w:rPr>
                <w:rFonts w:asciiTheme="majorHAnsi" w:hAnsiTheme="majorHAnsi"/>
                <w:sz w:val="20"/>
                <w:szCs w:val="20"/>
              </w:rPr>
              <w:t>Affiliation</w:t>
            </w:r>
          </w:p>
        </w:tc>
        <w:tc>
          <w:tcPr>
            <w:tcW w:w="4140" w:type="dxa"/>
          </w:tcPr>
          <w:p w14:paraId="1007C8D7" w14:textId="77777777" w:rsidR="0050207D" w:rsidRPr="003E1900" w:rsidRDefault="0050207D" w:rsidP="00F32162">
            <w:pPr>
              <w:rPr>
                <w:rFonts w:asciiTheme="majorHAnsi" w:hAnsiTheme="majorHAnsi"/>
                <w:sz w:val="20"/>
                <w:szCs w:val="20"/>
              </w:rPr>
            </w:pPr>
            <w:r w:rsidRPr="003E1900">
              <w:rPr>
                <w:rFonts w:asciiTheme="majorHAnsi" w:hAnsiTheme="majorHAnsi"/>
                <w:sz w:val="20"/>
                <w:szCs w:val="20"/>
              </w:rPr>
              <w:t>NC Floodplain Mapping Program</w:t>
            </w:r>
          </w:p>
        </w:tc>
        <w:tc>
          <w:tcPr>
            <w:tcW w:w="3690" w:type="dxa"/>
          </w:tcPr>
          <w:p w14:paraId="15B09C33" w14:textId="77777777" w:rsidR="0050207D" w:rsidRPr="003E1900" w:rsidRDefault="0050207D" w:rsidP="00CA6324">
            <w:pPr>
              <w:rPr>
                <w:rFonts w:asciiTheme="majorHAnsi" w:hAnsiTheme="majorHAnsi"/>
                <w:sz w:val="20"/>
                <w:szCs w:val="20"/>
              </w:rPr>
            </w:pPr>
            <w:r>
              <w:rPr>
                <w:rFonts w:asciiTheme="majorHAnsi" w:hAnsiTheme="majorHAnsi"/>
                <w:sz w:val="20"/>
                <w:szCs w:val="20"/>
              </w:rPr>
              <w:t>Company</w:t>
            </w:r>
          </w:p>
        </w:tc>
      </w:tr>
      <w:tr w:rsidR="0050207D" w:rsidRPr="003E1900" w14:paraId="74B5D38E" w14:textId="77777777" w:rsidTr="0050207D">
        <w:tc>
          <w:tcPr>
            <w:tcW w:w="1440" w:type="dxa"/>
            <w:shd w:val="clear" w:color="auto" w:fill="B8CCE4" w:themeFill="accent1" w:themeFillTint="66"/>
          </w:tcPr>
          <w:p w14:paraId="4939FF4A" w14:textId="77777777" w:rsidR="0050207D" w:rsidRPr="003E1900" w:rsidRDefault="0050207D" w:rsidP="00F32162">
            <w:pPr>
              <w:rPr>
                <w:rFonts w:asciiTheme="majorHAnsi" w:hAnsiTheme="majorHAnsi"/>
                <w:sz w:val="20"/>
                <w:szCs w:val="20"/>
              </w:rPr>
            </w:pPr>
            <w:r w:rsidRPr="003E1900">
              <w:rPr>
                <w:rFonts w:asciiTheme="majorHAnsi" w:hAnsiTheme="majorHAnsi"/>
                <w:sz w:val="20"/>
                <w:szCs w:val="20"/>
              </w:rPr>
              <w:t>Address</w:t>
            </w:r>
          </w:p>
        </w:tc>
        <w:tc>
          <w:tcPr>
            <w:tcW w:w="4140" w:type="dxa"/>
          </w:tcPr>
          <w:p w14:paraId="51038CD4" w14:textId="77777777" w:rsidR="0050207D" w:rsidRPr="003E1900" w:rsidRDefault="0050207D" w:rsidP="00F32162">
            <w:pPr>
              <w:rPr>
                <w:rFonts w:asciiTheme="majorHAnsi" w:hAnsiTheme="majorHAnsi"/>
                <w:sz w:val="20"/>
                <w:szCs w:val="20"/>
              </w:rPr>
            </w:pPr>
            <w:r w:rsidRPr="003E1900">
              <w:rPr>
                <w:rFonts w:asciiTheme="majorHAnsi" w:hAnsiTheme="majorHAnsi"/>
                <w:sz w:val="20"/>
                <w:szCs w:val="20"/>
              </w:rPr>
              <w:t>1812 Tillery Place – Suite 105</w:t>
            </w:r>
          </w:p>
          <w:p w14:paraId="103E7DC8" w14:textId="77777777" w:rsidR="0050207D" w:rsidRPr="003E1900" w:rsidRDefault="0050207D" w:rsidP="00F32162">
            <w:pPr>
              <w:rPr>
                <w:rFonts w:asciiTheme="majorHAnsi" w:hAnsiTheme="majorHAnsi"/>
                <w:sz w:val="20"/>
                <w:szCs w:val="20"/>
              </w:rPr>
            </w:pPr>
            <w:r w:rsidRPr="003E1900">
              <w:rPr>
                <w:rFonts w:asciiTheme="majorHAnsi" w:hAnsiTheme="majorHAnsi"/>
                <w:sz w:val="20"/>
                <w:szCs w:val="20"/>
              </w:rPr>
              <w:t>Raleigh, NC  27604</w:t>
            </w:r>
          </w:p>
        </w:tc>
        <w:tc>
          <w:tcPr>
            <w:tcW w:w="3690" w:type="dxa"/>
          </w:tcPr>
          <w:p w14:paraId="486C1030" w14:textId="77777777" w:rsidR="0050207D" w:rsidRPr="003E1900" w:rsidRDefault="0050207D" w:rsidP="00CA6324">
            <w:pPr>
              <w:rPr>
                <w:rFonts w:asciiTheme="majorHAnsi" w:hAnsiTheme="majorHAnsi"/>
                <w:sz w:val="20"/>
                <w:szCs w:val="20"/>
              </w:rPr>
            </w:pPr>
            <w:r>
              <w:rPr>
                <w:rFonts w:asciiTheme="majorHAnsi" w:hAnsiTheme="majorHAnsi"/>
                <w:sz w:val="20"/>
                <w:szCs w:val="20"/>
              </w:rPr>
              <w:t>Address</w:t>
            </w:r>
          </w:p>
        </w:tc>
      </w:tr>
      <w:tr w:rsidR="0050207D" w:rsidRPr="003E1900" w14:paraId="0BF8876C" w14:textId="77777777" w:rsidTr="0050207D">
        <w:tc>
          <w:tcPr>
            <w:tcW w:w="1440" w:type="dxa"/>
            <w:shd w:val="clear" w:color="auto" w:fill="B8CCE4" w:themeFill="accent1" w:themeFillTint="66"/>
          </w:tcPr>
          <w:p w14:paraId="7E81F1C8" w14:textId="77777777" w:rsidR="0050207D" w:rsidRPr="003E1900" w:rsidRDefault="0050207D" w:rsidP="00F32162">
            <w:pPr>
              <w:rPr>
                <w:rFonts w:asciiTheme="majorHAnsi" w:hAnsiTheme="majorHAnsi"/>
                <w:sz w:val="20"/>
                <w:szCs w:val="20"/>
              </w:rPr>
            </w:pPr>
            <w:r>
              <w:rPr>
                <w:rFonts w:asciiTheme="majorHAnsi" w:hAnsiTheme="majorHAnsi"/>
                <w:sz w:val="20"/>
                <w:szCs w:val="20"/>
              </w:rPr>
              <w:t>Email</w:t>
            </w:r>
          </w:p>
        </w:tc>
        <w:tc>
          <w:tcPr>
            <w:tcW w:w="4140" w:type="dxa"/>
          </w:tcPr>
          <w:p w14:paraId="5A2587F5" w14:textId="77777777" w:rsidR="0050207D" w:rsidRPr="003E1900" w:rsidRDefault="002178AE" w:rsidP="00F32162">
            <w:pPr>
              <w:rPr>
                <w:rFonts w:asciiTheme="majorHAnsi" w:hAnsiTheme="majorHAnsi"/>
                <w:sz w:val="20"/>
                <w:szCs w:val="20"/>
              </w:rPr>
            </w:pPr>
            <w:hyperlink r:id="rId7" w:history="1">
              <w:r w:rsidR="0050207D" w:rsidRPr="003E1900">
                <w:rPr>
                  <w:rStyle w:val="Hyperlink"/>
                  <w:rFonts w:asciiTheme="majorHAnsi" w:hAnsiTheme="majorHAnsi"/>
                  <w:sz w:val="20"/>
                  <w:szCs w:val="20"/>
                </w:rPr>
                <w:t>hmorgan@ncem.org</w:t>
              </w:r>
            </w:hyperlink>
          </w:p>
        </w:tc>
        <w:tc>
          <w:tcPr>
            <w:tcW w:w="3690" w:type="dxa"/>
          </w:tcPr>
          <w:p w14:paraId="6CDD970C" w14:textId="77777777" w:rsidR="0050207D" w:rsidRPr="003E1900" w:rsidRDefault="002178AE" w:rsidP="00CA6324">
            <w:pPr>
              <w:rPr>
                <w:rFonts w:asciiTheme="majorHAnsi" w:hAnsiTheme="majorHAnsi"/>
                <w:sz w:val="20"/>
                <w:szCs w:val="20"/>
              </w:rPr>
            </w:pPr>
            <w:hyperlink r:id="rId8" w:history="1">
              <w:r w:rsidR="0050207D" w:rsidRPr="0006151C">
                <w:rPr>
                  <w:rStyle w:val="Hyperlink"/>
                </w:rPr>
                <w:t>Email@gmail.com</w:t>
              </w:r>
            </w:hyperlink>
          </w:p>
        </w:tc>
      </w:tr>
      <w:tr w:rsidR="0050207D" w:rsidRPr="003E1900" w14:paraId="16CFC25F" w14:textId="77777777" w:rsidTr="0050207D">
        <w:tc>
          <w:tcPr>
            <w:tcW w:w="1440" w:type="dxa"/>
            <w:shd w:val="clear" w:color="auto" w:fill="B8CCE4" w:themeFill="accent1" w:themeFillTint="66"/>
          </w:tcPr>
          <w:p w14:paraId="586FE89D" w14:textId="77777777" w:rsidR="0050207D" w:rsidRPr="003E1900" w:rsidRDefault="0050207D" w:rsidP="00F32162">
            <w:pPr>
              <w:rPr>
                <w:rFonts w:asciiTheme="majorHAnsi" w:hAnsiTheme="majorHAnsi"/>
                <w:sz w:val="20"/>
                <w:szCs w:val="20"/>
              </w:rPr>
            </w:pPr>
            <w:r>
              <w:rPr>
                <w:rFonts w:asciiTheme="majorHAnsi" w:hAnsiTheme="majorHAnsi"/>
                <w:sz w:val="20"/>
                <w:szCs w:val="20"/>
              </w:rPr>
              <w:t>Phone</w:t>
            </w:r>
          </w:p>
        </w:tc>
        <w:tc>
          <w:tcPr>
            <w:tcW w:w="4140" w:type="dxa"/>
          </w:tcPr>
          <w:p w14:paraId="583BB995" w14:textId="77777777" w:rsidR="0050207D" w:rsidRPr="003E1900" w:rsidRDefault="0050207D" w:rsidP="00F32162">
            <w:pPr>
              <w:rPr>
                <w:rFonts w:asciiTheme="majorHAnsi" w:hAnsiTheme="majorHAnsi"/>
                <w:sz w:val="20"/>
                <w:szCs w:val="20"/>
              </w:rPr>
            </w:pPr>
            <w:r>
              <w:rPr>
                <w:rFonts w:asciiTheme="majorHAnsi" w:hAnsiTheme="majorHAnsi"/>
                <w:sz w:val="20"/>
                <w:szCs w:val="20"/>
              </w:rPr>
              <w:t xml:space="preserve">919-715-5711 </w:t>
            </w:r>
            <w:proofErr w:type="spellStart"/>
            <w:r>
              <w:rPr>
                <w:rFonts w:asciiTheme="majorHAnsi" w:hAnsiTheme="majorHAnsi"/>
                <w:sz w:val="20"/>
                <w:szCs w:val="20"/>
              </w:rPr>
              <w:t>ext</w:t>
            </w:r>
            <w:proofErr w:type="spellEnd"/>
            <w:r>
              <w:rPr>
                <w:rFonts w:asciiTheme="majorHAnsi" w:hAnsiTheme="majorHAnsi"/>
                <w:sz w:val="20"/>
                <w:szCs w:val="20"/>
              </w:rPr>
              <w:t xml:space="preserve"> 104</w:t>
            </w:r>
          </w:p>
        </w:tc>
        <w:tc>
          <w:tcPr>
            <w:tcW w:w="3690" w:type="dxa"/>
          </w:tcPr>
          <w:p w14:paraId="064B6E36" w14:textId="77777777" w:rsidR="0050207D" w:rsidRPr="003E1900" w:rsidRDefault="0050207D" w:rsidP="00CA6324">
            <w:pPr>
              <w:rPr>
                <w:rFonts w:asciiTheme="majorHAnsi" w:hAnsiTheme="majorHAnsi"/>
                <w:sz w:val="20"/>
                <w:szCs w:val="20"/>
              </w:rPr>
            </w:pPr>
            <w:r>
              <w:rPr>
                <w:rFonts w:asciiTheme="majorHAnsi" w:hAnsiTheme="majorHAnsi"/>
                <w:sz w:val="20"/>
                <w:szCs w:val="20"/>
              </w:rPr>
              <w:t>919-123-4567</w:t>
            </w:r>
          </w:p>
        </w:tc>
      </w:tr>
      <w:tr w:rsidR="0050207D" w:rsidRPr="003E1900" w14:paraId="7C16E8DB" w14:textId="77777777" w:rsidTr="0050207D">
        <w:trPr>
          <w:trHeight w:val="368"/>
        </w:trPr>
        <w:tc>
          <w:tcPr>
            <w:tcW w:w="9270" w:type="dxa"/>
            <w:gridSpan w:val="3"/>
            <w:shd w:val="clear" w:color="auto" w:fill="auto"/>
            <w:vAlign w:val="center"/>
          </w:tcPr>
          <w:p w14:paraId="3B606531" w14:textId="77777777" w:rsidR="0050207D" w:rsidRPr="003E1900" w:rsidRDefault="0050207D" w:rsidP="003E1900">
            <w:pPr>
              <w:rPr>
                <w:rFonts w:asciiTheme="majorHAnsi" w:hAnsiTheme="majorHAnsi"/>
                <w:sz w:val="20"/>
                <w:szCs w:val="20"/>
              </w:rPr>
            </w:pPr>
            <w:r w:rsidRPr="003E1900">
              <w:rPr>
                <w:rFonts w:asciiTheme="majorHAnsi" w:hAnsiTheme="majorHAnsi"/>
                <w:sz w:val="20"/>
                <w:szCs w:val="20"/>
              </w:rPr>
              <w:t>*</w:t>
            </w:r>
            <w:r>
              <w:rPr>
                <w:rFonts w:asciiTheme="majorHAnsi" w:hAnsiTheme="majorHAnsi"/>
                <w:sz w:val="20"/>
                <w:szCs w:val="20"/>
              </w:rPr>
              <w:t xml:space="preserve"> </w:t>
            </w:r>
            <w:r w:rsidRPr="003E1900">
              <w:rPr>
                <w:rFonts w:asciiTheme="majorHAnsi" w:hAnsiTheme="majorHAnsi"/>
                <w:sz w:val="20"/>
                <w:szCs w:val="20"/>
              </w:rPr>
              <w:t>Primary Presenter</w:t>
            </w:r>
          </w:p>
        </w:tc>
      </w:tr>
    </w:tbl>
    <w:p w14:paraId="15F01485" w14:textId="77777777" w:rsidR="0050207D" w:rsidRDefault="0050207D" w:rsidP="00F32162">
      <w:pPr>
        <w:rPr>
          <w:rFonts w:asciiTheme="majorHAnsi" w:hAnsiTheme="majorHAnsi"/>
          <w:sz w:val="24"/>
        </w:rPr>
      </w:pPr>
    </w:p>
    <w:p w14:paraId="364FE8A4" w14:textId="77777777" w:rsidR="00F32162" w:rsidRDefault="00001325" w:rsidP="00F32162">
      <w:pPr>
        <w:rPr>
          <w:rFonts w:asciiTheme="majorHAnsi" w:hAnsiTheme="majorHAnsi"/>
          <w:sz w:val="24"/>
        </w:rPr>
      </w:pPr>
      <w:r>
        <w:rPr>
          <w:rFonts w:asciiTheme="majorHAnsi" w:hAnsiTheme="majorHAnsi"/>
          <w:sz w:val="24"/>
        </w:rPr>
        <w:t xml:space="preserve">The mobile mapping industry has experienced an explosion of technology in </w:t>
      </w:r>
      <w:r w:rsidR="00EA579B">
        <w:rPr>
          <w:rFonts w:asciiTheme="majorHAnsi" w:hAnsiTheme="majorHAnsi"/>
          <w:sz w:val="24"/>
        </w:rPr>
        <w:t>recent</w:t>
      </w:r>
      <w:r>
        <w:rPr>
          <w:rFonts w:asciiTheme="majorHAnsi" w:hAnsiTheme="majorHAnsi"/>
          <w:sz w:val="24"/>
        </w:rPr>
        <w:t xml:space="preserve"> years. </w:t>
      </w:r>
      <w:r w:rsidR="00EA579B">
        <w:rPr>
          <w:rFonts w:asciiTheme="majorHAnsi" w:hAnsiTheme="majorHAnsi"/>
          <w:sz w:val="24"/>
        </w:rPr>
        <w:t>The e</w:t>
      </w:r>
      <w:r>
        <w:rPr>
          <w:rFonts w:asciiTheme="majorHAnsi" w:hAnsiTheme="majorHAnsi"/>
          <w:sz w:val="24"/>
        </w:rPr>
        <w:t>fficiency of data collection has increased dramatically due to the full synchronization and georeferencing of data from multiple sensors, capturing data at traffic speeds in a single pass</w:t>
      </w:r>
      <w:r w:rsidR="00453348">
        <w:rPr>
          <w:rFonts w:asciiTheme="majorHAnsi" w:hAnsiTheme="majorHAnsi"/>
          <w:sz w:val="24"/>
        </w:rPr>
        <w:t xml:space="preserve">, and extracting intelligent information </w:t>
      </w:r>
      <w:r w:rsidR="007C4379">
        <w:rPr>
          <w:rFonts w:asciiTheme="majorHAnsi" w:hAnsiTheme="majorHAnsi"/>
          <w:sz w:val="24"/>
        </w:rPr>
        <w:t>using</w:t>
      </w:r>
      <w:r w:rsidR="00453348">
        <w:rPr>
          <w:rFonts w:asciiTheme="majorHAnsi" w:hAnsiTheme="majorHAnsi"/>
          <w:sz w:val="24"/>
        </w:rPr>
        <w:t xml:space="preserve"> automated processes. </w:t>
      </w:r>
      <w:r w:rsidR="006E6F34">
        <w:rPr>
          <w:rFonts w:asciiTheme="majorHAnsi" w:hAnsiTheme="majorHAnsi"/>
          <w:sz w:val="24"/>
        </w:rPr>
        <w:t xml:space="preserve">These methods and tools have been utilized by engineers, surveyors, and geospatial professionals for inventory, examination, change detection, asset collection and management, modeling and design. </w:t>
      </w:r>
    </w:p>
    <w:p w14:paraId="329CA981" w14:textId="77777777" w:rsidR="00F94A07" w:rsidRDefault="00F94A07" w:rsidP="00F32162">
      <w:pPr>
        <w:rPr>
          <w:rFonts w:asciiTheme="majorHAnsi" w:hAnsiTheme="majorHAnsi"/>
          <w:sz w:val="24"/>
        </w:rPr>
      </w:pPr>
      <w:r>
        <w:rPr>
          <w:rFonts w:asciiTheme="majorHAnsi" w:hAnsiTheme="majorHAnsi"/>
          <w:sz w:val="24"/>
        </w:rPr>
        <w:t>The North Carolina Floodplain Mapping Program (</w:t>
      </w:r>
      <w:hyperlink r:id="rId9" w:history="1">
        <w:r w:rsidRPr="00F932F3">
          <w:rPr>
            <w:rStyle w:val="Hyperlink"/>
            <w:rFonts w:asciiTheme="majorHAnsi" w:hAnsiTheme="majorHAnsi"/>
            <w:sz w:val="24"/>
          </w:rPr>
          <w:t>www.ncfloodmaps.com</w:t>
        </w:r>
      </w:hyperlink>
      <w:r>
        <w:rPr>
          <w:rFonts w:asciiTheme="majorHAnsi" w:hAnsiTheme="majorHAnsi"/>
          <w:sz w:val="24"/>
        </w:rPr>
        <w:t xml:space="preserve">) is leveraging this new technology to assist in collected data for </w:t>
      </w:r>
      <w:r w:rsidR="00B14987">
        <w:rPr>
          <w:rFonts w:asciiTheme="majorHAnsi" w:hAnsiTheme="majorHAnsi"/>
          <w:sz w:val="24"/>
        </w:rPr>
        <w:t>f</w:t>
      </w:r>
      <w:r>
        <w:rPr>
          <w:rFonts w:asciiTheme="majorHAnsi" w:hAnsiTheme="majorHAnsi"/>
          <w:sz w:val="24"/>
        </w:rPr>
        <w:t xml:space="preserve">lood </w:t>
      </w:r>
      <w:r w:rsidR="00B14987">
        <w:rPr>
          <w:rFonts w:asciiTheme="majorHAnsi" w:hAnsiTheme="majorHAnsi"/>
          <w:sz w:val="24"/>
        </w:rPr>
        <w:t>r</w:t>
      </w:r>
      <w:r>
        <w:rPr>
          <w:rFonts w:asciiTheme="majorHAnsi" w:hAnsiTheme="majorHAnsi"/>
          <w:sz w:val="24"/>
        </w:rPr>
        <w:t xml:space="preserve">isk </w:t>
      </w:r>
      <w:r w:rsidR="00B14987">
        <w:rPr>
          <w:rFonts w:asciiTheme="majorHAnsi" w:hAnsiTheme="majorHAnsi"/>
          <w:sz w:val="24"/>
        </w:rPr>
        <w:t xml:space="preserve">assessment </w:t>
      </w:r>
      <w:r>
        <w:rPr>
          <w:rFonts w:asciiTheme="majorHAnsi" w:hAnsiTheme="majorHAnsi"/>
          <w:sz w:val="24"/>
        </w:rPr>
        <w:t xml:space="preserve">and mitigation activities.  Over the past 18 months, North Carolina has used this technology to rapidly collected Finished Floor Elevations (FFEs) for all buildings inside the SFHS for the State’s coastal counties.  In addition, the Mobile LiDAR is being used to collect extensive topographic details for levees and using this dataset to assess </w:t>
      </w:r>
      <w:r w:rsidR="00B14987">
        <w:rPr>
          <w:rFonts w:asciiTheme="majorHAnsi" w:hAnsiTheme="majorHAnsi"/>
          <w:sz w:val="24"/>
        </w:rPr>
        <w:t>l</w:t>
      </w:r>
      <w:r>
        <w:rPr>
          <w:rFonts w:asciiTheme="majorHAnsi" w:hAnsiTheme="majorHAnsi"/>
          <w:sz w:val="24"/>
        </w:rPr>
        <w:t xml:space="preserve">evee freeboard and </w:t>
      </w:r>
      <w:r w:rsidR="00B14987">
        <w:rPr>
          <w:rFonts w:asciiTheme="majorHAnsi" w:hAnsiTheme="majorHAnsi"/>
          <w:sz w:val="24"/>
        </w:rPr>
        <w:t xml:space="preserve">identify </w:t>
      </w:r>
      <w:r>
        <w:rPr>
          <w:rFonts w:asciiTheme="majorHAnsi" w:hAnsiTheme="majorHAnsi"/>
          <w:sz w:val="24"/>
        </w:rPr>
        <w:t>potential</w:t>
      </w:r>
      <w:r w:rsidR="00B14987">
        <w:rPr>
          <w:rFonts w:asciiTheme="majorHAnsi" w:hAnsiTheme="majorHAnsi"/>
          <w:sz w:val="24"/>
        </w:rPr>
        <w:t xml:space="preserve"> areas for</w:t>
      </w:r>
      <w:r w:rsidR="00391937">
        <w:rPr>
          <w:rFonts w:asciiTheme="majorHAnsi" w:hAnsiTheme="majorHAnsi"/>
          <w:sz w:val="24"/>
        </w:rPr>
        <w:t xml:space="preserve"> </w:t>
      </w:r>
      <w:r w:rsidR="00B14987">
        <w:rPr>
          <w:rFonts w:asciiTheme="majorHAnsi" w:hAnsiTheme="majorHAnsi"/>
          <w:sz w:val="24"/>
        </w:rPr>
        <w:t>levee failures based on slope and relation to flood levels (freeboard).</w:t>
      </w:r>
    </w:p>
    <w:p w14:paraId="3F1F901B" w14:textId="77777777" w:rsidR="00F94A07" w:rsidRDefault="00391937" w:rsidP="00F32162">
      <w:pPr>
        <w:rPr>
          <w:rFonts w:asciiTheme="majorHAnsi" w:hAnsiTheme="majorHAnsi"/>
          <w:sz w:val="24"/>
        </w:rPr>
      </w:pPr>
      <w:r>
        <w:rPr>
          <w:rFonts w:asciiTheme="majorHAnsi" w:hAnsiTheme="majorHAnsi"/>
          <w:sz w:val="24"/>
        </w:rPr>
        <w:t xml:space="preserve">In the early 2012, NC Floodplain Mapping is using this </w:t>
      </w:r>
      <w:r w:rsidR="00F94A07">
        <w:rPr>
          <w:rFonts w:asciiTheme="majorHAnsi" w:hAnsiTheme="majorHAnsi"/>
          <w:sz w:val="24"/>
        </w:rPr>
        <w:t xml:space="preserve">technology to develop detailed Roadway elevation layers for all State Maintained roads (4,100 miles) subject to flooding from Hurricane </w:t>
      </w:r>
      <w:r w:rsidR="00B14987">
        <w:rPr>
          <w:rFonts w:asciiTheme="majorHAnsi" w:hAnsiTheme="majorHAnsi"/>
          <w:sz w:val="24"/>
        </w:rPr>
        <w:t>s</w:t>
      </w:r>
      <w:r w:rsidR="00F94A07">
        <w:rPr>
          <w:rFonts w:asciiTheme="majorHAnsi" w:hAnsiTheme="majorHAnsi"/>
          <w:sz w:val="24"/>
        </w:rPr>
        <w:t xml:space="preserve">torm </w:t>
      </w:r>
      <w:r w:rsidR="00B14987">
        <w:rPr>
          <w:rFonts w:asciiTheme="majorHAnsi" w:hAnsiTheme="majorHAnsi"/>
          <w:sz w:val="24"/>
        </w:rPr>
        <w:t>s</w:t>
      </w:r>
      <w:r w:rsidR="00F94A07">
        <w:rPr>
          <w:rFonts w:asciiTheme="majorHAnsi" w:hAnsiTheme="majorHAnsi"/>
          <w:sz w:val="24"/>
        </w:rPr>
        <w:t xml:space="preserve">urge.  The resulting products will be used as an Emergency Management planning tool for quantifying inundation roadways for evaluation support and emergency management.  </w:t>
      </w:r>
    </w:p>
    <w:p w14:paraId="38E83845" w14:textId="77777777" w:rsidR="00EA579B" w:rsidRPr="00001325" w:rsidRDefault="00F94A07">
      <w:pPr>
        <w:rPr>
          <w:rFonts w:asciiTheme="majorHAnsi" w:hAnsiTheme="majorHAnsi"/>
          <w:sz w:val="24"/>
        </w:rPr>
      </w:pPr>
      <w:r>
        <w:rPr>
          <w:rFonts w:asciiTheme="majorHAnsi" w:hAnsiTheme="majorHAnsi"/>
          <w:sz w:val="24"/>
        </w:rPr>
        <w:t xml:space="preserve">This presentation will </w:t>
      </w:r>
      <w:r w:rsidR="00391937">
        <w:rPr>
          <w:rFonts w:asciiTheme="majorHAnsi" w:hAnsiTheme="majorHAnsi"/>
          <w:sz w:val="24"/>
        </w:rPr>
        <w:t xml:space="preserve">specifically </w:t>
      </w:r>
      <w:r>
        <w:rPr>
          <w:rFonts w:asciiTheme="majorHAnsi" w:hAnsiTheme="majorHAnsi"/>
          <w:sz w:val="24"/>
        </w:rPr>
        <w:t xml:space="preserve">highlight the </w:t>
      </w:r>
      <w:r w:rsidR="00391937">
        <w:rPr>
          <w:rFonts w:asciiTheme="majorHAnsi" w:hAnsiTheme="majorHAnsi"/>
          <w:sz w:val="24"/>
        </w:rPr>
        <w:t xml:space="preserve">roadway LiDAR project and how the data can be used to assist in disaster preparedness and response.  </w:t>
      </w:r>
    </w:p>
    <w:sectPr w:rsidR="00EA579B" w:rsidRPr="000013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408E" w14:textId="77777777" w:rsidR="002178AE" w:rsidRDefault="002178AE" w:rsidP="00A85F40">
      <w:pPr>
        <w:spacing w:after="0" w:line="240" w:lineRule="auto"/>
      </w:pPr>
      <w:r>
        <w:separator/>
      </w:r>
    </w:p>
  </w:endnote>
  <w:endnote w:type="continuationSeparator" w:id="0">
    <w:p w14:paraId="2D6BEBF9" w14:textId="77777777" w:rsidR="002178AE" w:rsidRDefault="002178AE" w:rsidP="00A8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9E7C" w14:textId="77777777" w:rsidR="00A85F40" w:rsidRDefault="00A8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F328" w14:textId="77777777" w:rsidR="00A85F40" w:rsidRDefault="00A8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80B4" w14:textId="77777777" w:rsidR="00A85F40" w:rsidRDefault="00A85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DAA2" w14:textId="77777777" w:rsidR="002178AE" w:rsidRDefault="002178AE" w:rsidP="00A85F40">
      <w:pPr>
        <w:spacing w:after="0" w:line="240" w:lineRule="auto"/>
      </w:pPr>
      <w:r>
        <w:separator/>
      </w:r>
    </w:p>
  </w:footnote>
  <w:footnote w:type="continuationSeparator" w:id="0">
    <w:p w14:paraId="4C6F570A" w14:textId="77777777" w:rsidR="002178AE" w:rsidRDefault="002178AE" w:rsidP="00A8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07CD" w14:textId="77777777" w:rsidR="00A85F40" w:rsidRDefault="00A85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AACF" w14:textId="77777777" w:rsidR="00A85F40" w:rsidRDefault="00A85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DA29" w14:textId="77777777" w:rsidR="00A85F40" w:rsidRDefault="00A85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0EE"/>
    <w:multiLevelType w:val="hybridMultilevel"/>
    <w:tmpl w:val="A4B2BD4A"/>
    <w:lvl w:ilvl="0" w:tplc="8C44B872">
      <w:start w:val="9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9689C"/>
    <w:multiLevelType w:val="hybridMultilevel"/>
    <w:tmpl w:val="8D52EE54"/>
    <w:lvl w:ilvl="0" w:tplc="DB2E3422">
      <w:start w:val="9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947"/>
    <w:rsid w:val="00001325"/>
    <w:rsid w:val="000145CD"/>
    <w:rsid w:val="00107E83"/>
    <w:rsid w:val="001F66B5"/>
    <w:rsid w:val="002178AE"/>
    <w:rsid w:val="00254492"/>
    <w:rsid w:val="00391937"/>
    <w:rsid w:val="003C377E"/>
    <w:rsid w:val="003E1900"/>
    <w:rsid w:val="003F6DE9"/>
    <w:rsid w:val="00450C29"/>
    <w:rsid w:val="00453348"/>
    <w:rsid w:val="0050207D"/>
    <w:rsid w:val="00626D23"/>
    <w:rsid w:val="00667947"/>
    <w:rsid w:val="006E6F34"/>
    <w:rsid w:val="00744A86"/>
    <w:rsid w:val="007B7CA5"/>
    <w:rsid w:val="007C4379"/>
    <w:rsid w:val="009927F8"/>
    <w:rsid w:val="00A41410"/>
    <w:rsid w:val="00A85F40"/>
    <w:rsid w:val="00B14987"/>
    <w:rsid w:val="00CB53F0"/>
    <w:rsid w:val="00EA579B"/>
    <w:rsid w:val="00EA77C3"/>
    <w:rsid w:val="00F32162"/>
    <w:rsid w:val="00F93772"/>
    <w:rsid w:val="00F9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0632"/>
  <w15:docId w15:val="{D4FB185E-C4B0-44BA-9B0A-E3284C37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A07"/>
    <w:rPr>
      <w:color w:val="0000FF" w:themeColor="hyperlink"/>
      <w:u w:val="single"/>
    </w:rPr>
  </w:style>
  <w:style w:type="paragraph" w:styleId="Header">
    <w:name w:val="header"/>
    <w:basedOn w:val="Normal"/>
    <w:link w:val="HeaderChar"/>
    <w:uiPriority w:val="99"/>
    <w:unhideWhenUsed/>
    <w:rsid w:val="00A8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40"/>
  </w:style>
  <w:style w:type="paragraph" w:styleId="Footer">
    <w:name w:val="footer"/>
    <w:basedOn w:val="Normal"/>
    <w:link w:val="FooterChar"/>
    <w:uiPriority w:val="99"/>
    <w:unhideWhenUsed/>
    <w:rsid w:val="00A8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40"/>
  </w:style>
  <w:style w:type="table" w:styleId="TableGrid">
    <w:name w:val="Table Grid"/>
    <w:basedOn w:val="TableNormal"/>
    <w:uiPriority w:val="59"/>
    <w:rsid w:val="003E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morgan@ncem.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floodmap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ESP Associates P.A.</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Turner</dc:creator>
  <cp:lastModifiedBy>Dennis Frady</cp:lastModifiedBy>
  <cp:revision>5</cp:revision>
  <dcterms:created xsi:type="dcterms:W3CDTF">2013-08-07T20:55:00Z</dcterms:created>
  <dcterms:modified xsi:type="dcterms:W3CDTF">2022-02-17T14:35:00Z</dcterms:modified>
</cp:coreProperties>
</file>